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5E" w:rsidRPr="00C820EF" w:rsidRDefault="008C345E" w:rsidP="008C345E">
      <w:pPr>
        <w:jc w:val="center"/>
        <w:rPr>
          <w:rFonts w:ascii="Verdana" w:hAnsi="Verdana"/>
          <w:b/>
        </w:rPr>
      </w:pPr>
      <w:r w:rsidRPr="00C820EF">
        <w:rPr>
          <w:rFonts w:ascii="Verdana" w:hAnsi="Verdana"/>
          <w:b/>
        </w:rPr>
        <w:t>CENTRO PRODUCTIVO DEL RECTORADO</w:t>
      </w:r>
    </w:p>
    <w:p w:rsidR="008C345E" w:rsidRPr="00C820EF" w:rsidRDefault="008C345E" w:rsidP="008C345E">
      <w:pPr>
        <w:jc w:val="center"/>
        <w:rPr>
          <w:rFonts w:ascii="Verdana" w:hAnsi="Verdana"/>
          <w:b/>
          <w:sz w:val="18"/>
          <w:szCs w:val="18"/>
        </w:rPr>
      </w:pPr>
    </w:p>
    <w:p w:rsidR="008C345E" w:rsidRPr="00C820EF" w:rsidRDefault="008C345E" w:rsidP="008C345E">
      <w:pPr>
        <w:jc w:val="both"/>
        <w:rPr>
          <w:rFonts w:ascii="Verdana" w:hAnsi="Verdana"/>
          <w:b/>
          <w:sz w:val="18"/>
          <w:szCs w:val="18"/>
        </w:rPr>
      </w:pPr>
    </w:p>
    <w:p w:rsidR="008C345E" w:rsidRPr="00C820EF" w:rsidRDefault="008C345E" w:rsidP="00906F04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INTRODUCCION</w:t>
      </w:r>
    </w:p>
    <w:p w:rsidR="008C345E" w:rsidRPr="00C820EF" w:rsidRDefault="008C345E" w:rsidP="00906F04">
      <w:pPr>
        <w:jc w:val="both"/>
        <w:rPr>
          <w:rFonts w:ascii="Verdana" w:hAnsi="Verdana"/>
          <w:sz w:val="18"/>
          <w:szCs w:val="18"/>
        </w:rPr>
      </w:pPr>
      <w:r w:rsidRPr="00C820EF">
        <w:rPr>
          <w:rFonts w:ascii="Verdana" w:hAnsi="Verdana"/>
          <w:sz w:val="18"/>
          <w:szCs w:val="18"/>
        </w:rPr>
        <w:t>La Estructura Orgánica de la Universidad Nacional de Piura e</w:t>
      </w:r>
      <w:r w:rsidR="002B0E83">
        <w:rPr>
          <w:rFonts w:ascii="Verdana" w:hAnsi="Verdana"/>
          <w:sz w:val="18"/>
          <w:szCs w:val="18"/>
        </w:rPr>
        <w:t>s</w:t>
      </w:r>
      <w:r w:rsidRPr="00C820EF">
        <w:rPr>
          <w:rFonts w:ascii="Verdana" w:hAnsi="Verdana"/>
          <w:sz w:val="18"/>
          <w:szCs w:val="18"/>
        </w:rPr>
        <w:t>t</w:t>
      </w:r>
      <w:r w:rsidR="002B0E83">
        <w:rPr>
          <w:rFonts w:ascii="Verdana" w:hAnsi="Verdana"/>
          <w:sz w:val="18"/>
          <w:szCs w:val="18"/>
        </w:rPr>
        <w:t>á</w:t>
      </w:r>
      <w:r w:rsidRPr="00C820EF">
        <w:rPr>
          <w:rFonts w:ascii="Verdana" w:hAnsi="Verdana"/>
          <w:sz w:val="18"/>
          <w:szCs w:val="18"/>
        </w:rPr>
        <w:t xml:space="preserve"> formada por Unidades Orgánicas que responden a su naturaleza y grado de complejidad de funciones, en cumplimient</w:t>
      </w:r>
      <w:r w:rsidR="002B0E83">
        <w:rPr>
          <w:rFonts w:ascii="Verdana" w:hAnsi="Verdana"/>
          <w:sz w:val="18"/>
          <w:szCs w:val="18"/>
        </w:rPr>
        <w:t>o de los objetivos institucionales.</w:t>
      </w:r>
    </w:p>
    <w:p w:rsidR="008C345E" w:rsidRPr="00C820EF" w:rsidRDefault="008C345E" w:rsidP="002B0E83">
      <w:pPr>
        <w:jc w:val="both"/>
        <w:rPr>
          <w:rFonts w:ascii="Verdana" w:hAnsi="Verdana"/>
          <w:sz w:val="18"/>
          <w:szCs w:val="18"/>
        </w:rPr>
      </w:pPr>
      <w:r w:rsidRPr="00C820EF">
        <w:rPr>
          <w:rFonts w:ascii="Verdana" w:hAnsi="Verdana"/>
          <w:sz w:val="18"/>
          <w:szCs w:val="18"/>
        </w:rPr>
        <w:t>En concordancia con los fines establecidos se creó el Centro Productivo del Rectorado bajo las disposiciones del Órgano de Gobierno, con Resolución de Consejo Universitario Nº 481-CU-96 del 15 de julio de 1996, con el objetivo de contar con una Unidad que cumpla un papel de soporte a la proyección de imagen institucional.</w:t>
      </w:r>
    </w:p>
    <w:p w:rsidR="008C345E" w:rsidRPr="00C820EF" w:rsidRDefault="008C345E" w:rsidP="008C345E">
      <w:pPr>
        <w:ind w:left="360"/>
        <w:jc w:val="both"/>
        <w:rPr>
          <w:rFonts w:ascii="Verdana" w:hAnsi="Verdana"/>
          <w:sz w:val="18"/>
          <w:szCs w:val="18"/>
        </w:rPr>
      </w:pPr>
    </w:p>
    <w:p w:rsidR="008C345E" w:rsidRPr="00C820EF" w:rsidRDefault="008C345E" w:rsidP="002B0E83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DIAGNÓSTICO</w:t>
      </w:r>
    </w:p>
    <w:p w:rsidR="008C345E" w:rsidRPr="00C820EF" w:rsidRDefault="008C345E" w:rsidP="002B0E83">
      <w:pPr>
        <w:pStyle w:val="Textoindependiente2"/>
        <w:rPr>
          <w:rFonts w:ascii="Verdana" w:hAnsi="Verdana" w:cs="Times New Roman"/>
          <w:sz w:val="18"/>
          <w:szCs w:val="18"/>
        </w:rPr>
      </w:pPr>
      <w:r w:rsidRPr="00C820EF">
        <w:rPr>
          <w:rFonts w:ascii="Verdana" w:hAnsi="Verdana" w:cs="Times New Roman"/>
          <w:sz w:val="18"/>
          <w:szCs w:val="18"/>
        </w:rPr>
        <w:t>El Centro Productivo del Rectorado de la Universidad Nacional de Piura cuenta con limitaciones que dificulta el logro de los objetivos y metas, siendo las más relevantes, las siguientes:</w:t>
      </w:r>
    </w:p>
    <w:p w:rsidR="008C345E" w:rsidRPr="00C820EF" w:rsidRDefault="008C345E" w:rsidP="002B0E83">
      <w:pPr>
        <w:pStyle w:val="Ttulo8"/>
        <w:rPr>
          <w:rFonts w:ascii="Verdana" w:hAnsi="Verdana" w:cs="Times New Roman"/>
          <w:sz w:val="18"/>
          <w:szCs w:val="18"/>
        </w:rPr>
      </w:pPr>
      <w:r w:rsidRPr="00C820EF">
        <w:rPr>
          <w:rFonts w:ascii="Verdana" w:hAnsi="Verdana" w:cs="Times New Roman"/>
          <w:sz w:val="18"/>
          <w:szCs w:val="18"/>
        </w:rPr>
        <w:t>Labor de Investigación y Proyección Universitaria</w:t>
      </w:r>
    </w:p>
    <w:p w:rsidR="008C345E" w:rsidRPr="00C820EF" w:rsidRDefault="008C345E" w:rsidP="002B0E83">
      <w:pPr>
        <w:jc w:val="both"/>
        <w:rPr>
          <w:rFonts w:ascii="Verdana" w:hAnsi="Verdana"/>
          <w:sz w:val="18"/>
          <w:szCs w:val="18"/>
        </w:rPr>
      </w:pPr>
      <w:r w:rsidRPr="00C820EF">
        <w:rPr>
          <w:rFonts w:ascii="Verdana" w:hAnsi="Verdana"/>
          <w:sz w:val="18"/>
          <w:szCs w:val="18"/>
        </w:rPr>
        <w:t>Este Centro Productivo no promueve actividades de investigación, sin embargo, en lo relaci</w:t>
      </w:r>
      <w:r w:rsidR="002B0E83">
        <w:rPr>
          <w:rFonts w:ascii="Verdana" w:hAnsi="Verdana"/>
          <w:sz w:val="18"/>
          <w:szCs w:val="18"/>
        </w:rPr>
        <w:t xml:space="preserve">onado a la preservación de las </w:t>
      </w:r>
      <w:r w:rsidRPr="00C820EF">
        <w:rPr>
          <w:rFonts w:ascii="Verdana" w:hAnsi="Verdana"/>
          <w:sz w:val="18"/>
          <w:szCs w:val="18"/>
        </w:rPr>
        <w:t>manifestaciones culturales de nuestra región se coordina con el Instituto de Cultura de nuestra Universidad para realizar la exhibición de manera permanente de las piezas de los ceramios pre-hispánicos de las culturas Moche-Chimú, Tallán, Sicán y Vicús, en las vitrinas instaladas en la Sala de Conferencias ubicada en el auditorio “Manuel Moncloa y Ferreyra” con lo cual se contribuye a la preservación del patrimonio cultural.</w:t>
      </w:r>
    </w:p>
    <w:p w:rsidR="008C345E" w:rsidRPr="00C820EF" w:rsidRDefault="008C345E" w:rsidP="002B0E83">
      <w:pPr>
        <w:pStyle w:val="Ttulo8"/>
        <w:rPr>
          <w:rFonts w:ascii="Verdana" w:hAnsi="Verdana" w:cs="Times New Roman"/>
          <w:sz w:val="18"/>
          <w:szCs w:val="18"/>
        </w:rPr>
      </w:pPr>
      <w:r w:rsidRPr="00C820EF">
        <w:rPr>
          <w:rFonts w:ascii="Verdana" w:hAnsi="Verdana" w:cs="Times New Roman"/>
          <w:sz w:val="18"/>
          <w:szCs w:val="18"/>
        </w:rPr>
        <w:t>Gestión Administrativa</w:t>
      </w:r>
    </w:p>
    <w:p w:rsidR="008C345E" w:rsidRPr="00C820EF" w:rsidRDefault="008C345E" w:rsidP="002B0E83">
      <w:pPr>
        <w:pStyle w:val="Ttulo8"/>
        <w:rPr>
          <w:rFonts w:ascii="Verdana" w:hAnsi="Verdana" w:cs="Times New Roman"/>
          <w:b w:val="0"/>
          <w:bCs w:val="0"/>
          <w:sz w:val="18"/>
          <w:szCs w:val="18"/>
        </w:rPr>
      </w:pPr>
      <w:r w:rsidRPr="00C820EF">
        <w:rPr>
          <w:rFonts w:ascii="Verdana" w:hAnsi="Verdana" w:cs="Times New Roman"/>
          <w:b w:val="0"/>
          <w:bCs w:val="0"/>
          <w:sz w:val="18"/>
          <w:szCs w:val="18"/>
        </w:rPr>
        <w:t>El Centro Productivo del Rectorado es una Unidad que cumple con la captación de ingresos proyectados y los gastos son racionales; sin embargo, encuentra demasiadas dificultades en las oficinas administrativas al dar trámite a documentos rutinarios.</w:t>
      </w:r>
    </w:p>
    <w:p w:rsidR="008C345E" w:rsidRPr="00C820EF" w:rsidRDefault="008C345E" w:rsidP="008C345E">
      <w:pPr>
        <w:jc w:val="both"/>
        <w:rPr>
          <w:rFonts w:ascii="Verdana" w:hAnsi="Verdana"/>
          <w:sz w:val="18"/>
          <w:szCs w:val="18"/>
        </w:rPr>
      </w:pPr>
    </w:p>
    <w:p w:rsidR="008C345E" w:rsidRPr="00C820EF" w:rsidRDefault="008C345E" w:rsidP="002B0E83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LINEAMIENTOS</w:t>
      </w:r>
    </w:p>
    <w:p w:rsidR="008C345E" w:rsidRPr="00C820EF" w:rsidRDefault="002B0E83" w:rsidP="002B0E83">
      <w:pPr>
        <w:jc w:val="both"/>
        <w:rPr>
          <w:rFonts w:ascii="Verdana" w:hAnsi="Verdana"/>
          <w:b/>
          <w:caps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VISIÓN</w:t>
      </w:r>
    </w:p>
    <w:p w:rsidR="008C345E" w:rsidRPr="002B0E83" w:rsidRDefault="008C345E" w:rsidP="002B0E83">
      <w:pPr>
        <w:jc w:val="both"/>
        <w:rPr>
          <w:rFonts w:ascii="Verdana" w:hAnsi="Verdana"/>
          <w:i/>
          <w:sz w:val="18"/>
          <w:szCs w:val="18"/>
        </w:rPr>
      </w:pPr>
      <w:r w:rsidRPr="002B0E83">
        <w:rPr>
          <w:rFonts w:ascii="Verdana" w:hAnsi="Verdana"/>
          <w:i/>
          <w:sz w:val="18"/>
          <w:szCs w:val="18"/>
        </w:rPr>
        <w:t>Proporcionar el escenario adecuado para el desarrollo cultural y obtención de calidad de vida a través de los diferentes eventos. Con el apoyo de la Unidad de Servicios garantizamos la identificación en los diferentes procesos de admisión (postulantes); alumnos de pregrado, de postgrado; bachilleres para la obtención del título profesional; alumnos de IDEPUNP y de la Escuela Tecnológica Superior.</w:t>
      </w:r>
    </w:p>
    <w:p w:rsidR="008C345E" w:rsidRPr="00C820EF" w:rsidRDefault="008C345E" w:rsidP="008C345E">
      <w:pPr>
        <w:ind w:left="360"/>
        <w:jc w:val="both"/>
        <w:rPr>
          <w:rFonts w:ascii="Verdana" w:hAnsi="Verdana"/>
          <w:sz w:val="18"/>
          <w:szCs w:val="18"/>
        </w:rPr>
      </w:pPr>
    </w:p>
    <w:p w:rsidR="008C345E" w:rsidRPr="00C820EF" w:rsidRDefault="002B0E83" w:rsidP="002B0E8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MISIÓN</w:t>
      </w:r>
    </w:p>
    <w:p w:rsidR="008C345E" w:rsidRPr="002B0E83" w:rsidRDefault="008C345E" w:rsidP="002B0E83">
      <w:pPr>
        <w:jc w:val="both"/>
        <w:rPr>
          <w:rFonts w:ascii="Verdana" w:hAnsi="Verdana"/>
          <w:i/>
          <w:sz w:val="18"/>
          <w:szCs w:val="18"/>
        </w:rPr>
      </w:pPr>
      <w:r w:rsidRPr="002B0E83">
        <w:rPr>
          <w:rFonts w:ascii="Verdana" w:hAnsi="Verdana"/>
          <w:i/>
          <w:sz w:val="18"/>
          <w:szCs w:val="18"/>
        </w:rPr>
        <w:t>Al año 2013, el Centro Productivo del Rectorado mantendrá una constante actividad que coadyuve al soporte académico y cultural de nuestra Universidad y de la región, logrando una integración profesional, así como la consolidará las relaciones e imagen de la universidad con la región y el país en general, constituyéndose en el lugar obligatorio de cultura y educación no formal de la región.</w:t>
      </w:r>
    </w:p>
    <w:p w:rsidR="008C345E" w:rsidRPr="00C820EF" w:rsidRDefault="008C345E" w:rsidP="008C345E">
      <w:pPr>
        <w:ind w:left="360"/>
        <w:jc w:val="both"/>
        <w:rPr>
          <w:rFonts w:ascii="Verdana" w:hAnsi="Verdana"/>
          <w:b/>
          <w:sz w:val="18"/>
          <w:szCs w:val="18"/>
        </w:rPr>
      </w:pPr>
    </w:p>
    <w:p w:rsidR="008C345E" w:rsidRPr="00C820EF" w:rsidRDefault="008C345E" w:rsidP="008C345E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OBJETIVOS GENERALES, PARCIALES</w:t>
      </w:r>
    </w:p>
    <w:p w:rsidR="000319AA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1: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Conservar, acrecentar y difundir nuestro legado cultural, sus diversas manifestaciones culturales con participación de la comunidad universitaria.</w:t>
      </w:r>
    </w:p>
    <w:p w:rsidR="006F0819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2: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Brindar el servicio de identificación a través de la Unidad de Servicios en los diferentes procesos académicos.</w:t>
      </w:r>
    </w:p>
    <w:p w:rsidR="006F0819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3</w:t>
      </w:r>
      <w:r w:rsidR="006F0819">
        <w:rPr>
          <w:rFonts w:ascii="Verdana" w:hAnsi="Verdana"/>
          <w:b/>
          <w:sz w:val="18"/>
          <w:szCs w:val="18"/>
        </w:rPr>
        <w:t>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Realizar mantenimiento preventivo del aire acondicionado.</w:t>
      </w:r>
    </w:p>
    <w:p w:rsidR="006F0819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4: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Firmar convenio con FUNDENORP para cooperación técnica y financiera.</w:t>
      </w:r>
    </w:p>
    <w:p w:rsidR="006F0819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5: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Mejorar el proceso de trámite administrativo de los locales y que éstos fluyan con mayor rapidez.</w:t>
      </w:r>
    </w:p>
    <w:p w:rsidR="006F0819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OBJETIVO GENERAL 6: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sz w:val="18"/>
          <w:szCs w:val="18"/>
        </w:rPr>
        <w:t>Implementar un programa de capacitación al personal.</w:t>
      </w:r>
    </w:p>
    <w:p w:rsidR="000319AA" w:rsidRDefault="000319AA" w:rsidP="008C345E">
      <w:pPr>
        <w:jc w:val="both"/>
        <w:rPr>
          <w:rFonts w:ascii="Verdana" w:hAnsi="Verdana"/>
          <w:b/>
          <w:sz w:val="18"/>
          <w:szCs w:val="18"/>
        </w:rPr>
      </w:pPr>
    </w:p>
    <w:p w:rsidR="008C345E" w:rsidRPr="00C820EF" w:rsidRDefault="000319AA" w:rsidP="008C345E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</w:t>
      </w:r>
      <w:r w:rsidRPr="00C820EF">
        <w:rPr>
          <w:rFonts w:ascii="Verdana" w:hAnsi="Verdana"/>
          <w:b/>
          <w:sz w:val="18"/>
          <w:szCs w:val="18"/>
        </w:rPr>
        <w:t>bjetivos</w:t>
      </w:r>
      <w:r>
        <w:rPr>
          <w:rFonts w:ascii="Verdana" w:hAnsi="Verdana"/>
          <w:b/>
          <w:sz w:val="18"/>
          <w:szCs w:val="18"/>
        </w:rPr>
        <w:t xml:space="preserve"> Estratégicos</w:t>
      </w:r>
      <w:r w:rsidRPr="00C820EF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P</w:t>
      </w:r>
      <w:r w:rsidRPr="00C820EF">
        <w:rPr>
          <w:rFonts w:ascii="Verdana" w:hAnsi="Verdana"/>
          <w:b/>
          <w:sz w:val="18"/>
          <w:szCs w:val="18"/>
        </w:rPr>
        <w:t>arciales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Fomentar la práctica de actividades artísticas y culturales a fin de contribuir con el afianzamiento de la identidad regional y nacional.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Fomentar el cultivo del arte y la cultura a través de foros, conferencias, recitales, conciertos, actividades teatrales, promoviendo la cooperación universitaria.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lastRenderedPageBreak/>
        <w:t>Promover la presentación en el auditorio “Manuel Moncloa y Ferreyra” de Orquestas Sinfónicas; de Obras de Teatro y Grupos de Ballet.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Programar y realizar el mantenimiento del aire acondicionado del auditorio como mínimo una vez al año.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Apoyar en el proceso de admisión a la Universidad Nacional, realizando la toma de fotografía codificada para la obtención del carné de postulante.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Garantizar la identificación del graduando y/o titulado, a través de la toma de fotografía con código otorgado por la Asamblea Nacional de Rectores.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Brindar el servicio de fotografía codificada a los alumnos regulares para la obtención de su Carné Universitario.</w:t>
      </w:r>
    </w:p>
    <w:p w:rsidR="008C345E" w:rsidRPr="000319AA" w:rsidRDefault="008C345E" w:rsidP="000319AA">
      <w:pPr>
        <w:pStyle w:val="Prrafodelista"/>
        <w:numPr>
          <w:ilvl w:val="0"/>
          <w:numId w:val="5"/>
        </w:numPr>
        <w:ind w:left="360"/>
        <w:jc w:val="both"/>
        <w:rPr>
          <w:rFonts w:ascii="Verdana" w:hAnsi="Verdana"/>
          <w:sz w:val="18"/>
          <w:szCs w:val="18"/>
        </w:rPr>
      </w:pPr>
      <w:r w:rsidRPr="000319AA">
        <w:rPr>
          <w:rFonts w:ascii="Verdana" w:hAnsi="Verdana"/>
          <w:sz w:val="18"/>
          <w:szCs w:val="18"/>
        </w:rPr>
        <w:t>Brindar el servicio de fotografía codificada a los alumnos del Instituto de Enseñanza Pre Universitaria, Escuela Tecnológica Superior, de la Maestrías y Doctorados de la UNP.</w:t>
      </w:r>
    </w:p>
    <w:p w:rsidR="008C345E" w:rsidRPr="00B85FB8" w:rsidRDefault="008C345E" w:rsidP="00B85FB8">
      <w:pPr>
        <w:jc w:val="both"/>
        <w:rPr>
          <w:rFonts w:ascii="Verdana" w:hAnsi="Verdana"/>
          <w:b/>
          <w:sz w:val="18"/>
          <w:szCs w:val="18"/>
        </w:rPr>
      </w:pPr>
    </w:p>
    <w:p w:rsidR="008C345E" w:rsidRPr="00C820EF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METAS ANUALES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250 postulantes a los Programas Especiales de la Facultad de Ciencias Sociales y Educación.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4500 alumnos del Instituto de Enseñanza Pre Universitaria de la UNP.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800 alumnos de la Escuela Tecnológica Superior – UNP.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1500 postulantes ADES.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5000 postulantes al Proceso de Admisión 2012 convocado por la Universidad Nacional de Piura.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500 alumnos de PROEDUNP Filial Sullana.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1800 alumnos para la obtención del Grado Académico de Bachiller.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1400 alumnos para la obtención del Título Profesional.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Brindar el servicio de fotografía codificada a 300 alumnos para la obtención del Postgrado.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Presentación de 02 obras teatrales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Presentación de Orquestas Sinfónicas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Mantenimiento del aire acondicionado dos veces al año.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Trámite relacionado al alquiler o préstamo de los locales, directamente en la Dirección del CPR, evitando el recorrido por otras oficinas.</w:t>
      </w:r>
    </w:p>
    <w:p w:rsidR="008C345E" w:rsidRPr="00AB600E" w:rsidRDefault="008C345E" w:rsidP="00AB600E">
      <w:pPr>
        <w:pStyle w:val="Prrafodelista"/>
        <w:numPr>
          <w:ilvl w:val="0"/>
          <w:numId w:val="6"/>
        </w:numPr>
        <w:ind w:left="360"/>
        <w:jc w:val="both"/>
        <w:rPr>
          <w:rFonts w:ascii="Verdana" w:hAnsi="Verdana"/>
          <w:sz w:val="18"/>
          <w:szCs w:val="18"/>
        </w:rPr>
      </w:pPr>
      <w:r w:rsidRPr="00AB600E">
        <w:rPr>
          <w:rFonts w:ascii="Verdana" w:hAnsi="Verdana"/>
          <w:sz w:val="18"/>
          <w:szCs w:val="18"/>
        </w:rPr>
        <w:t>Para cada servidor del CPR 240 horas de capacitación bimestral.</w:t>
      </w:r>
    </w:p>
    <w:p w:rsidR="008C345E" w:rsidRPr="00B85FB8" w:rsidRDefault="008C345E" w:rsidP="008C345E">
      <w:pPr>
        <w:jc w:val="both"/>
        <w:rPr>
          <w:rFonts w:ascii="Verdana" w:hAnsi="Verdana"/>
          <w:b/>
          <w:sz w:val="18"/>
          <w:szCs w:val="18"/>
        </w:rPr>
      </w:pPr>
    </w:p>
    <w:p w:rsidR="008C345E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ACTIVIDADES O PROYECTOS</w:t>
      </w:r>
    </w:p>
    <w:p w:rsidR="004A1D39" w:rsidRPr="00C820EF" w:rsidRDefault="004A1D39" w:rsidP="00B85FB8">
      <w:pPr>
        <w:jc w:val="both"/>
        <w:rPr>
          <w:rFonts w:ascii="Verdana" w:hAnsi="Verdana"/>
          <w:b/>
          <w:sz w:val="18"/>
          <w:szCs w:val="18"/>
        </w:rPr>
      </w:pPr>
    </w:p>
    <w:p w:rsidR="008C345E" w:rsidRPr="00C820EF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B85FB8">
        <w:rPr>
          <w:rFonts w:ascii="Verdana" w:hAnsi="Verdana"/>
          <w:b/>
          <w:noProof/>
          <w:sz w:val="18"/>
          <w:szCs w:val="18"/>
          <w:lang w:val="en-US" w:eastAsia="en-US"/>
        </w:rPr>
        <w:drawing>
          <wp:inline distT="0" distB="0" distL="0" distR="0">
            <wp:extent cx="5934075" cy="2371725"/>
            <wp:effectExtent l="19050" t="0" r="9525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45E" w:rsidRPr="00C820EF" w:rsidRDefault="008C345E" w:rsidP="00B85FB8">
      <w:pPr>
        <w:jc w:val="both"/>
        <w:rPr>
          <w:rFonts w:ascii="Verdana" w:hAnsi="Verdana"/>
          <w:b/>
          <w:sz w:val="18"/>
          <w:szCs w:val="18"/>
        </w:rPr>
      </w:pPr>
    </w:p>
    <w:p w:rsidR="008C345E" w:rsidRDefault="008C345E" w:rsidP="00B85FB8">
      <w:pPr>
        <w:jc w:val="both"/>
        <w:rPr>
          <w:rFonts w:ascii="Verdana" w:hAnsi="Verdana"/>
          <w:b/>
          <w:sz w:val="18"/>
          <w:szCs w:val="18"/>
        </w:rPr>
      </w:pPr>
      <w:r w:rsidRPr="00C820EF">
        <w:rPr>
          <w:rFonts w:ascii="Verdana" w:hAnsi="Verdana"/>
          <w:b/>
          <w:sz w:val="18"/>
          <w:szCs w:val="18"/>
        </w:rPr>
        <w:t>INDICADODRES DE DESEMPEÑO</w:t>
      </w:r>
    </w:p>
    <w:p w:rsidR="004A1D39" w:rsidRPr="00C820EF" w:rsidRDefault="004A1D39" w:rsidP="00B85FB8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4253"/>
      </w:tblGrid>
      <w:tr w:rsidR="008C345E" w:rsidRPr="00B85FB8" w:rsidTr="006853C2">
        <w:tc>
          <w:tcPr>
            <w:tcW w:w="4111" w:type="dxa"/>
          </w:tcPr>
          <w:p w:rsidR="008C345E" w:rsidRPr="00B85FB8" w:rsidRDefault="008C345E" w:rsidP="00B85FB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5FB8">
              <w:rPr>
                <w:rFonts w:ascii="Verdana" w:hAnsi="Verdana"/>
                <w:b/>
                <w:sz w:val="16"/>
                <w:szCs w:val="16"/>
              </w:rPr>
              <w:t>ACTIVIDADES</w:t>
            </w:r>
          </w:p>
        </w:tc>
        <w:tc>
          <w:tcPr>
            <w:tcW w:w="4253" w:type="dxa"/>
          </w:tcPr>
          <w:p w:rsidR="008C345E" w:rsidRPr="00B85FB8" w:rsidRDefault="008C345E" w:rsidP="00B85FB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85FB8">
              <w:rPr>
                <w:rFonts w:ascii="Verdana" w:hAnsi="Verdana"/>
                <w:b/>
                <w:sz w:val="16"/>
                <w:szCs w:val="16"/>
              </w:rPr>
              <w:t>INDICADOR DE DESEMEPEÑO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Postulantes ADES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postulantes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Alumnos IDEPUNP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alumnos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Alumnos Escuela Tecnológica Superior UNP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alumnos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Postulantes Admisión Examen General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postulantes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Postulantes Admisión PROEDUNP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postulantes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Alumnos Regulares – Piura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alumnos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lastRenderedPageBreak/>
              <w:t>Alumnos Regulares PROEDUNP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alumnos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Alumnos Grados y/o Títulos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alumnos atendidos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Alquiler de Auditorios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Servicios prestados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Presentación de Orquesta Sinfónica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Presentaciones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Presentación de Obras Teatrales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Presentaciones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Presentación de Ballet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Presentaciones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Mantenimiento de aire acondicionado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mantenimientos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6853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Firma de convenio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convenios</w:t>
            </w:r>
          </w:p>
        </w:tc>
      </w:tr>
      <w:tr w:rsidR="008C345E" w:rsidRPr="00B85FB8" w:rsidTr="006853C2">
        <w:tc>
          <w:tcPr>
            <w:tcW w:w="4111" w:type="dxa"/>
          </w:tcPr>
          <w:p w:rsidR="008C345E" w:rsidRPr="00B85FB8" w:rsidRDefault="008C345E" w:rsidP="006853C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Capacitación al personal</w:t>
            </w:r>
          </w:p>
        </w:tc>
        <w:tc>
          <w:tcPr>
            <w:tcW w:w="4253" w:type="dxa"/>
          </w:tcPr>
          <w:p w:rsidR="008C345E" w:rsidRPr="00B85FB8" w:rsidRDefault="008C345E" w:rsidP="00AB02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85FB8">
              <w:rPr>
                <w:rFonts w:ascii="Verdana" w:hAnsi="Verdana"/>
                <w:sz w:val="16"/>
                <w:szCs w:val="16"/>
              </w:rPr>
              <w:t>Número de horas</w:t>
            </w:r>
          </w:p>
        </w:tc>
      </w:tr>
    </w:tbl>
    <w:p w:rsidR="00C240ED" w:rsidRPr="00B85FB8" w:rsidRDefault="00C240ED" w:rsidP="00B85FB8">
      <w:pPr>
        <w:jc w:val="both"/>
        <w:rPr>
          <w:rFonts w:ascii="Verdana" w:hAnsi="Verdana"/>
          <w:b/>
          <w:sz w:val="18"/>
          <w:szCs w:val="18"/>
        </w:rPr>
      </w:pPr>
    </w:p>
    <w:sectPr w:rsidR="00C240ED" w:rsidRPr="00B85FB8" w:rsidSect="006D7B17">
      <w:headerReference w:type="default" r:id="rId8"/>
      <w:footerReference w:type="default" r:id="rId9"/>
      <w:pgSz w:w="11906" w:h="16838" w:code="9"/>
      <w:pgMar w:top="1418" w:right="1418" w:bottom="851" w:left="1418" w:header="680" w:footer="680" w:gutter="0"/>
      <w:pgNumType w:start="3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B3F" w:rsidRDefault="00EF2B3F" w:rsidP="00906F04">
      <w:r>
        <w:separator/>
      </w:r>
    </w:p>
  </w:endnote>
  <w:endnote w:type="continuationSeparator" w:id="1">
    <w:p w:rsidR="00EF2B3F" w:rsidRDefault="00EF2B3F" w:rsidP="00906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7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6D7B17" w:rsidRPr="006D7B17" w:rsidRDefault="006D7B17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6D7B17">
          <w:rPr>
            <w:rFonts w:ascii="Verdana" w:hAnsi="Verdana"/>
            <w:sz w:val="16"/>
            <w:szCs w:val="16"/>
          </w:rPr>
          <w:fldChar w:fldCharType="begin"/>
        </w:r>
        <w:r w:rsidRPr="006D7B17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D7B17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329</w:t>
        </w:r>
        <w:r w:rsidRPr="006D7B17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6D7B17" w:rsidRDefault="006D7B1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B3F" w:rsidRDefault="00EF2B3F" w:rsidP="00906F04">
      <w:r>
        <w:separator/>
      </w:r>
    </w:p>
  </w:footnote>
  <w:footnote w:type="continuationSeparator" w:id="1">
    <w:p w:rsidR="00EF2B3F" w:rsidRDefault="00EF2B3F" w:rsidP="00906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F04" w:rsidRPr="009D0F95" w:rsidRDefault="00906F04" w:rsidP="00906F04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906F04" w:rsidRPr="00690DD8" w:rsidRDefault="00906F04" w:rsidP="00906F04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7416"/>
    <w:multiLevelType w:val="hybridMultilevel"/>
    <w:tmpl w:val="8248AA80"/>
    <w:lvl w:ilvl="0" w:tplc="862A8F06">
      <w:start w:val="6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80" w:hanging="360"/>
      </w:pPr>
    </w:lvl>
    <w:lvl w:ilvl="2" w:tplc="0C0A001B" w:tentative="1">
      <w:start w:val="1"/>
      <w:numFmt w:val="lowerRoman"/>
      <w:lvlText w:val="%3."/>
      <w:lvlJc w:val="right"/>
      <w:pPr>
        <w:ind w:left="2100" w:hanging="180"/>
      </w:pPr>
    </w:lvl>
    <w:lvl w:ilvl="3" w:tplc="0C0A000F" w:tentative="1">
      <w:start w:val="1"/>
      <w:numFmt w:val="decimal"/>
      <w:lvlText w:val="%4."/>
      <w:lvlJc w:val="left"/>
      <w:pPr>
        <w:ind w:left="2820" w:hanging="360"/>
      </w:pPr>
    </w:lvl>
    <w:lvl w:ilvl="4" w:tplc="0C0A0019" w:tentative="1">
      <w:start w:val="1"/>
      <w:numFmt w:val="lowerLetter"/>
      <w:lvlText w:val="%5."/>
      <w:lvlJc w:val="left"/>
      <w:pPr>
        <w:ind w:left="3540" w:hanging="360"/>
      </w:pPr>
    </w:lvl>
    <w:lvl w:ilvl="5" w:tplc="0C0A001B" w:tentative="1">
      <w:start w:val="1"/>
      <w:numFmt w:val="lowerRoman"/>
      <w:lvlText w:val="%6."/>
      <w:lvlJc w:val="right"/>
      <w:pPr>
        <w:ind w:left="4260" w:hanging="180"/>
      </w:pPr>
    </w:lvl>
    <w:lvl w:ilvl="6" w:tplc="0C0A000F" w:tentative="1">
      <w:start w:val="1"/>
      <w:numFmt w:val="decimal"/>
      <w:lvlText w:val="%7."/>
      <w:lvlJc w:val="left"/>
      <w:pPr>
        <w:ind w:left="4980" w:hanging="360"/>
      </w:pPr>
    </w:lvl>
    <w:lvl w:ilvl="7" w:tplc="0C0A0019" w:tentative="1">
      <w:start w:val="1"/>
      <w:numFmt w:val="lowerLetter"/>
      <w:lvlText w:val="%8."/>
      <w:lvlJc w:val="left"/>
      <w:pPr>
        <w:ind w:left="5700" w:hanging="360"/>
      </w:pPr>
    </w:lvl>
    <w:lvl w:ilvl="8" w:tplc="0C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26F7F3E"/>
    <w:multiLevelType w:val="hybridMultilevel"/>
    <w:tmpl w:val="C1B003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B049B"/>
    <w:multiLevelType w:val="hybridMultilevel"/>
    <w:tmpl w:val="B3DEC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A011A"/>
    <w:multiLevelType w:val="hybridMultilevel"/>
    <w:tmpl w:val="439C3B7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DA3D68"/>
    <w:multiLevelType w:val="hybridMultilevel"/>
    <w:tmpl w:val="FDAEB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709D6"/>
    <w:multiLevelType w:val="hybridMultilevel"/>
    <w:tmpl w:val="B54236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322"/>
    <w:rsid w:val="000319AA"/>
    <w:rsid w:val="000F3E06"/>
    <w:rsid w:val="002B0E83"/>
    <w:rsid w:val="004A1D39"/>
    <w:rsid w:val="004F719C"/>
    <w:rsid w:val="005B61A8"/>
    <w:rsid w:val="006853C2"/>
    <w:rsid w:val="006D7B17"/>
    <w:rsid w:val="006E5C02"/>
    <w:rsid w:val="006F0819"/>
    <w:rsid w:val="008C345E"/>
    <w:rsid w:val="00906F04"/>
    <w:rsid w:val="009F745E"/>
    <w:rsid w:val="00A63B66"/>
    <w:rsid w:val="00AB600E"/>
    <w:rsid w:val="00B85FB8"/>
    <w:rsid w:val="00BE37E2"/>
    <w:rsid w:val="00C240ED"/>
    <w:rsid w:val="00C820EF"/>
    <w:rsid w:val="00D34FB6"/>
    <w:rsid w:val="00D61322"/>
    <w:rsid w:val="00EF2B3F"/>
    <w:rsid w:val="00EF5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D61322"/>
    <w:pPr>
      <w:keepNext/>
      <w:jc w:val="both"/>
      <w:outlineLvl w:val="7"/>
    </w:pPr>
    <w:rPr>
      <w:rFonts w:ascii="Arial" w:hAnsi="Arial" w:cs="Arial"/>
      <w:b/>
      <w:bCs/>
      <w:sz w:val="20"/>
    </w:rPr>
  </w:style>
  <w:style w:type="paragraph" w:styleId="Ttulo9">
    <w:name w:val="heading 9"/>
    <w:basedOn w:val="Normal"/>
    <w:next w:val="Normal"/>
    <w:link w:val="Ttulo9Car"/>
    <w:qFormat/>
    <w:rsid w:val="00D6132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rsid w:val="00D61322"/>
    <w:rPr>
      <w:rFonts w:ascii="Arial" w:eastAsia="Times New Roman" w:hAnsi="Arial" w:cs="Arial"/>
      <w:b/>
      <w:bCs/>
      <w:sz w:val="20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D61322"/>
    <w:rPr>
      <w:rFonts w:ascii="Arial" w:eastAsia="Times New Roman" w:hAnsi="Arial" w:cs="Arial"/>
      <w:lang w:eastAsia="es-ES"/>
    </w:rPr>
  </w:style>
  <w:style w:type="character" w:styleId="Hipervnculo">
    <w:name w:val="Hyperlink"/>
    <w:basedOn w:val="Fuentedeprrafopredeter"/>
    <w:rsid w:val="00D61322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rsid w:val="00D61322"/>
    <w:pPr>
      <w:jc w:val="both"/>
    </w:pPr>
    <w:rPr>
      <w:rFonts w:ascii="Arial" w:hAnsi="Arial" w:cs="Arial"/>
      <w:sz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D61322"/>
    <w:rPr>
      <w:rFonts w:ascii="Arial" w:eastAsia="Times New Roman" w:hAnsi="Arial" w:cs="Arial"/>
      <w:sz w:val="20"/>
      <w:szCs w:val="24"/>
      <w:lang w:eastAsia="es-ES"/>
    </w:rPr>
  </w:style>
  <w:style w:type="paragraph" w:styleId="Textoindependiente3">
    <w:name w:val="Body Text 3"/>
    <w:basedOn w:val="Normal"/>
    <w:link w:val="Textoindependiente3Car"/>
    <w:rsid w:val="00D61322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D61322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13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13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06F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6F0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06F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6F0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319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UNP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vaponp</dc:creator>
  <cp:lastModifiedBy>Jesus Perez Reátegui</cp:lastModifiedBy>
  <cp:revision>11</cp:revision>
  <dcterms:created xsi:type="dcterms:W3CDTF">2012-07-09T18:42:00Z</dcterms:created>
  <dcterms:modified xsi:type="dcterms:W3CDTF">2012-12-03T17:22:00Z</dcterms:modified>
</cp:coreProperties>
</file>